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D7" w:rsidRDefault="00773B87">
      <w:pPr>
        <w:rPr>
          <w:rFonts w:cs="VNGNQL+Optima-Regular"/>
          <w:color w:val="000000"/>
        </w:rPr>
      </w:pPr>
      <w:r w:rsidRPr="00A85380">
        <w:rPr>
          <w:b/>
        </w:rPr>
        <w:t>Scenario 1</w:t>
      </w:r>
      <w:r w:rsidR="002634D0">
        <w:t xml:space="preserve"> </w:t>
      </w:r>
      <w:r w:rsidR="002634D0" w:rsidRPr="002634D0">
        <w:rPr>
          <w:b/>
        </w:rPr>
        <w:t>College Level Basics</w:t>
      </w:r>
      <w:r>
        <w:t xml:space="preserve">: </w:t>
      </w:r>
      <w:r w:rsidR="009E02D7">
        <w:t xml:space="preserve">CSUs expect students to complete the Golden Four GE courses </w:t>
      </w:r>
      <w:bookmarkStart w:id="0" w:name="_GoBack"/>
      <w:bookmarkEnd w:id="0"/>
      <w:r w:rsidR="009E02D7">
        <w:t xml:space="preserve">within their first year, as they are considered “basic skills” or pre-requisites for college level coursework in other fields. The </w:t>
      </w:r>
      <w:r w:rsidR="009E02D7">
        <w:rPr>
          <w:rFonts w:cs="VNGNQL+Optima-Regular"/>
          <w:color w:val="000000"/>
        </w:rPr>
        <w:t>GE Breadth requirements (for CSU) in areas A1: Oral Communication, A2: Composition, A3: Critical Thinking, and B4: Quantitative Reasoning</w:t>
      </w:r>
      <w:r w:rsidR="009E02D7">
        <w:rPr>
          <w:rFonts w:cs="VNGNQL+Optima-Regular"/>
          <w:color w:val="000000"/>
        </w:rPr>
        <w:t xml:space="preserve">. </w:t>
      </w:r>
      <w:r w:rsidR="002634D0">
        <w:rPr>
          <w:rFonts w:cs="VNGNQL+Optima-Regular"/>
          <w:color w:val="000000"/>
        </w:rPr>
        <w:t xml:space="preserve">In addition, early completion of these areas is associated with greater course success and program completion. </w:t>
      </w:r>
      <w:r w:rsidR="009E02D7">
        <w:rPr>
          <w:rFonts w:cs="VNGNQL+Optima-Regular"/>
          <w:color w:val="000000"/>
        </w:rPr>
        <w:t>As one college reviewed the scheduling for these courses they found that annually (fall, spring, summer as well as face-to-face, hybrid and online) they offered about:</w:t>
      </w:r>
    </w:p>
    <w:p w:rsidR="009E02D7" w:rsidRPr="008573FA" w:rsidRDefault="0003224C" w:rsidP="008573FA">
      <w:pPr>
        <w:pStyle w:val="ListParagraph"/>
        <w:numPr>
          <w:ilvl w:val="0"/>
          <w:numId w:val="1"/>
        </w:numPr>
        <w:spacing w:after="0"/>
        <w:rPr>
          <w:rFonts w:cs="VNGNQL+Optima-Regular"/>
          <w:color w:val="000000"/>
        </w:rPr>
      </w:pPr>
      <w:r w:rsidRPr="008573FA">
        <w:rPr>
          <w:rFonts w:cs="VNGNQL+Optima-Regular"/>
          <w:color w:val="000000"/>
        </w:rPr>
        <w:t>160</w:t>
      </w:r>
      <w:r w:rsidR="009E02D7" w:rsidRPr="008573FA">
        <w:rPr>
          <w:rFonts w:cs="VNGNQL+Optima-Regular"/>
          <w:color w:val="000000"/>
        </w:rPr>
        <w:t xml:space="preserve"> total sections</w:t>
      </w:r>
      <w:r w:rsidRPr="008573FA">
        <w:rPr>
          <w:rFonts w:cs="VNGNQL+Optima-Regular"/>
          <w:color w:val="000000"/>
        </w:rPr>
        <w:t xml:space="preserve"> (approximately 6,400 seats)</w:t>
      </w:r>
      <w:r w:rsidR="009E02D7" w:rsidRPr="008573FA">
        <w:rPr>
          <w:rFonts w:cs="VNGNQL+Optima-Regular"/>
          <w:color w:val="000000"/>
        </w:rPr>
        <w:t xml:space="preserve"> of 3 different courses satisfying area A1 Oral Communication (all in one department)</w:t>
      </w:r>
    </w:p>
    <w:p w:rsidR="00827DB0" w:rsidRPr="008573FA" w:rsidRDefault="009E02D7" w:rsidP="008573FA">
      <w:pPr>
        <w:pStyle w:val="ListParagraph"/>
        <w:numPr>
          <w:ilvl w:val="0"/>
          <w:numId w:val="1"/>
        </w:numPr>
        <w:spacing w:after="0"/>
        <w:rPr>
          <w:rFonts w:cs="VNGNQL+Optima-Regular"/>
          <w:color w:val="000000"/>
        </w:rPr>
      </w:pPr>
      <w:r w:rsidRPr="008573FA">
        <w:rPr>
          <w:rFonts w:cs="VNGNQL+Optima-Regular"/>
          <w:color w:val="000000"/>
        </w:rPr>
        <w:t xml:space="preserve">500 total sections of English 1A, </w:t>
      </w:r>
      <w:r w:rsidR="0003224C" w:rsidRPr="008573FA">
        <w:rPr>
          <w:rFonts w:cs="VNGNQL+Optima-Regular"/>
          <w:color w:val="000000"/>
        </w:rPr>
        <w:t xml:space="preserve">(approximately </w:t>
      </w:r>
      <w:r w:rsidR="0003224C" w:rsidRPr="008573FA">
        <w:rPr>
          <w:rFonts w:cs="VNGNQL+Optima-Regular"/>
          <w:color w:val="000000"/>
        </w:rPr>
        <w:t xml:space="preserve">12,000 </w:t>
      </w:r>
      <w:r w:rsidR="0003224C" w:rsidRPr="008573FA">
        <w:rPr>
          <w:rFonts w:cs="VNGNQL+Optima-Regular"/>
          <w:color w:val="000000"/>
        </w:rPr>
        <w:t xml:space="preserve">seats) </w:t>
      </w:r>
      <w:r w:rsidRPr="008573FA">
        <w:rPr>
          <w:rFonts w:cs="VNGNQL+Optima-Regular"/>
          <w:color w:val="000000"/>
        </w:rPr>
        <w:t xml:space="preserve">the only course satisfying area A2 Composition </w:t>
      </w:r>
    </w:p>
    <w:p w:rsidR="009E02D7" w:rsidRPr="008573FA" w:rsidRDefault="0003224C" w:rsidP="008573FA">
      <w:pPr>
        <w:pStyle w:val="ListParagraph"/>
        <w:numPr>
          <w:ilvl w:val="0"/>
          <w:numId w:val="1"/>
        </w:numPr>
        <w:spacing w:after="0"/>
        <w:rPr>
          <w:rFonts w:cs="VNGNQL+Optima-Regular"/>
          <w:color w:val="000000"/>
        </w:rPr>
      </w:pPr>
      <w:r w:rsidRPr="008573FA">
        <w:rPr>
          <w:rFonts w:cs="VNGNQL+Optima-Regular"/>
          <w:color w:val="000000"/>
        </w:rPr>
        <w:t>80</w:t>
      </w:r>
      <w:r w:rsidR="009E02D7" w:rsidRPr="008573FA">
        <w:rPr>
          <w:rFonts w:cs="VNGNQL+Optima-Regular"/>
          <w:color w:val="000000"/>
        </w:rPr>
        <w:t xml:space="preserve"> total sections of 5 different critical thinking</w:t>
      </w:r>
      <w:r w:rsidRPr="008573FA">
        <w:rPr>
          <w:rFonts w:cs="VNGNQL+Optima-Regular"/>
          <w:color w:val="000000"/>
        </w:rPr>
        <w:t xml:space="preserve"> courses, </w:t>
      </w:r>
      <w:r w:rsidRPr="008573FA">
        <w:rPr>
          <w:rFonts w:cs="VNGNQL+Optima-Regular"/>
          <w:color w:val="000000"/>
        </w:rPr>
        <w:t xml:space="preserve">(approximately </w:t>
      </w:r>
      <w:r w:rsidRPr="008573FA">
        <w:rPr>
          <w:rFonts w:cs="VNGNQL+Optima-Regular"/>
          <w:color w:val="000000"/>
        </w:rPr>
        <w:t>2,</w:t>
      </w:r>
      <w:r w:rsidRPr="008573FA">
        <w:rPr>
          <w:rFonts w:cs="VNGNQL+Optima-Regular"/>
          <w:color w:val="000000"/>
        </w:rPr>
        <w:t xml:space="preserve">400 seats) </w:t>
      </w:r>
      <w:r w:rsidRPr="008573FA">
        <w:rPr>
          <w:rFonts w:cs="VNGNQL+Optima-Regular"/>
          <w:color w:val="000000"/>
        </w:rPr>
        <w:t>satisfying area A3 Critical T</w:t>
      </w:r>
      <w:r w:rsidR="009E02D7" w:rsidRPr="008573FA">
        <w:rPr>
          <w:rFonts w:cs="VNGNQL+Optima-Regular"/>
          <w:color w:val="000000"/>
        </w:rPr>
        <w:t>hinking (in 4 departments)</w:t>
      </w:r>
    </w:p>
    <w:p w:rsidR="004C5608" w:rsidRPr="008573FA" w:rsidRDefault="008573FA" w:rsidP="008573FA">
      <w:pPr>
        <w:pStyle w:val="ListParagraph"/>
        <w:numPr>
          <w:ilvl w:val="0"/>
          <w:numId w:val="3"/>
        </w:numPr>
        <w:spacing w:after="0"/>
        <w:rPr>
          <w:rFonts w:cs="VNGNQL+Optima-Regular"/>
          <w:color w:val="000000"/>
        </w:rPr>
      </w:pPr>
      <w:r w:rsidRPr="008573FA">
        <w:rPr>
          <w:rFonts w:cs="VNGNQL+Optima-Regular"/>
          <w:color w:val="000000"/>
        </w:rPr>
        <w:t>220 sections of 7 different courses, (approximately 6,600 seats</w:t>
      </w:r>
      <w:r w:rsidR="00773B87">
        <w:rPr>
          <w:rFonts w:cs="VNGNQL+Optima-Regular"/>
          <w:color w:val="000000"/>
        </w:rPr>
        <w:t>) satisfying Area B4 QR and Math</w:t>
      </w:r>
    </w:p>
    <w:p w:rsidR="009E02D7" w:rsidRDefault="0003224C" w:rsidP="008573FA">
      <w:pPr>
        <w:spacing w:after="0"/>
        <w:rPr>
          <w:rFonts w:cs="VNGNQL+Optima-Regular"/>
          <w:color w:val="000000"/>
        </w:rPr>
      </w:pPr>
      <w:r>
        <w:rPr>
          <w:rFonts w:cs="VNGNQL+Optima-Regular"/>
          <w:color w:val="000000"/>
        </w:rPr>
        <w:t>Or display as a table</w:t>
      </w:r>
    </w:p>
    <w:tbl>
      <w:tblPr>
        <w:tblStyle w:val="TableGrid"/>
        <w:tblW w:w="0" w:type="auto"/>
        <w:tblLayout w:type="fixed"/>
        <w:tblLook w:val="04A0" w:firstRow="1" w:lastRow="0" w:firstColumn="1" w:lastColumn="0" w:noHBand="0" w:noVBand="1"/>
      </w:tblPr>
      <w:tblGrid>
        <w:gridCol w:w="1638"/>
        <w:gridCol w:w="3960"/>
        <w:gridCol w:w="1800"/>
        <w:gridCol w:w="1171"/>
        <w:gridCol w:w="1007"/>
      </w:tblGrid>
      <w:tr w:rsidR="004C5608" w:rsidTr="002D6C2B">
        <w:tc>
          <w:tcPr>
            <w:tcW w:w="1638" w:type="dxa"/>
          </w:tcPr>
          <w:p w:rsidR="004C5608" w:rsidRDefault="004C5608">
            <w:pPr>
              <w:rPr>
                <w:rFonts w:cs="VNGNQL+Optima-Regular"/>
                <w:color w:val="000000"/>
              </w:rPr>
            </w:pPr>
            <w:r>
              <w:rPr>
                <w:rFonts w:cs="VNGNQL+Optima-Regular"/>
                <w:color w:val="000000"/>
              </w:rPr>
              <w:t>GE Area</w:t>
            </w:r>
          </w:p>
        </w:tc>
        <w:tc>
          <w:tcPr>
            <w:tcW w:w="3960" w:type="dxa"/>
          </w:tcPr>
          <w:p w:rsidR="004C5608" w:rsidRDefault="008573FA">
            <w:pPr>
              <w:rPr>
                <w:rFonts w:cs="VNGNQL+Optima-Regular"/>
                <w:color w:val="000000"/>
              </w:rPr>
            </w:pPr>
            <w:r>
              <w:rPr>
                <w:rFonts w:cs="VNGNQL+Optima-Regular"/>
                <w:color w:val="000000"/>
              </w:rPr>
              <w:t>Number of courses</w:t>
            </w:r>
          </w:p>
        </w:tc>
        <w:tc>
          <w:tcPr>
            <w:tcW w:w="1800" w:type="dxa"/>
          </w:tcPr>
          <w:p w:rsidR="004C5608" w:rsidRDefault="004C5608" w:rsidP="0086088A">
            <w:pPr>
              <w:rPr>
                <w:rFonts w:cs="VNGNQL+Optima-Regular"/>
                <w:color w:val="000000"/>
              </w:rPr>
            </w:pPr>
            <w:r>
              <w:rPr>
                <w:rFonts w:cs="VNGNQL+Optima-Regular"/>
                <w:color w:val="000000"/>
              </w:rPr>
              <w:t>Number of departments</w:t>
            </w:r>
          </w:p>
        </w:tc>
        <w:tc>
          <w:tcPr>
            <w:tcW w:w="1171" w:type="dxa"/>
          </w:tcPr>
          <w:p w:rsidR="004C5608" w:rsidRDefault="008573FA" w:rsidP="008573FA">
            <w:pPr>
              <w:rPr>
                <w:rFonts w:cs="VNGNQL+Optima-Regular"/>
                <w:color w:val="000000"/>
              </w:rPr>
            </w:pPr>
            <w:r>
              <w:rPr>
                <w:rFonts w:cs="VNGNQL+Optima-Regular"/>
                <w:color w:val="000000"/>
              </w:rPr>
              <w:t>Sections annually</w:t>
            </w:r>
            <w:r>
              <w:rPr>
                <w:rFonts w:cs="VNGNQL+Optima-Regular"/>
                <w:color w:val="000000"/>
              </w:rPr>
              <w:t xml:space="preserve"> </w:t>
            </w:r>
          </w:p>
        </w:tc>
        <w:tc>
          <w:tcPr>
            <w:tcW w:w="1007" w:type="dxa"/>
          </w:tcPr>
          <w:p w:rsidR="004C5608" w:rsidRDefault="004C5608">
            <w:pPr>
              <w:rPr>
                <w:rFonts w:cs="VNGNQL+Optima-Regular"/>
                <w:color w:val="000000"/>
              </w:rPr>
            </w:pPr>
            <w:r>
              <w:rPr>
                <w:rFonts w:cs="VNGNQL+Optima-Regular"/>
                <w:color w:val="000000"/>
              </w:rPr>
              <w:t>Number of Seats</w:t>
            </w:r>
          </w:p>
        </w:tc>
      </w:tr>
      <w:tr w:rsidR="004C5608" w:rsidTr="002D6C2B">
        <w:tc>
          <w:tcPr>
            <w:tcW w:w="1638" w:type="dxa"/>
          </w:tcPr>
          <w:p w:rsidR="004C5608" w:rsidRDefault="004C5608">
            <w:pPr>
              <w:rPr>
                <w:rFonts w:cs="VNGNQL+Optima-Regular"/>
                <w:color w:val="000000"/>
              </w:rPr>
            </w:pPr>
            <w:r>
              <w:rPr>
                <w:rFonts w:cs="VNGNQL+Optima-Regular"/>
                <w:color w:val="000000"/>
              </w:rPr>
              <w:t>A1 Oral Communication</w:t>
            </w:r>
          </w:p>
        </w:tc>
        <w:tc>
          <w:tcPr>
            <w:tcW w:w="3960" w:type="dxa"/>
          </w:tcPr>
          <w:p w:rsidR="004C5608" w:rsidRPr="002D6C2B" w:rsidRDefault="008573FA">
            <w:pPr>
              <w:rPr>
                <w:rFonts w:cs="VNGNQL+Optima-Regular"/>
                <w:color w:val="000000"/>
                <w:sz w:val="20"/>
              </w:rPr>
            </w:pPr>
            <w:r>
              <w:rPr>
                <w:rFonts w:cs="VNGNQL+Optima-Regular"/>
                <w:color w:val="000000"/>
              </w:rPr>
              <w:t>3</w:t>
            </w:r>
            <w:r>
              <w:rPr>
                <w:rFonts w:cs="VNGNQL+Optima-Regular"/>
                <w:color w:val="000000"/>
              </w:rPr>
              <w:t xml:space="preserve"> courses</w:t>
            </w:r>
          </w:p>
          <w:p w:rsidR="004C5608" w:rsidRPr="002D6C2B" w:rsidRDefault="004C5608">
            <w:pPr>
              <w:rPr>
                <w:rFonts w:cs="VNGNQL+Optima-Regular"/>
                <w:color w:val="000000"/>
                <w:sz w:val="20"/>
              </w:rPr>
            </w:pPr>
            <w:r w:rsidRPr="002D6C2B">
              <w:rPr>
                <w:rFonts w:cs="VNGNQL+Optima-Regular"/>
                <w:color w:val="000000"/>
                <w:sz w:val="20"/>
              </w:rPr>
              <w:t>Public Speaking</w:t>
            </w:r>
          </w:p>
          <w:p w:rsidR="004C5608" w:rsidRPr="002D6C2B" w:rsidRDefault="004C5608">
            <w:pPr>
              <w:rPr>
                <w:rFonts w:cs="VNGNQL+Optima-Regular"/>
                <w:color w:val="000000"/>
                <w:sz w:val="20"/>
              </w:rPr>
            </w:pPr>
            <w:r w:rsidRPr="002D6C2B">
              <w:rPr>
                <w:rFonts w:cs="VNGNQL+Optima-Regular"/>
                <w:color w:val="000000"/>
                <w:sz w:val="20"/>
              </w:rPr>
              <w:t>Persuasive Communication</w:t>
            </w:r>
          </w:p>
          <w:p w:rsidR="004C5608" w:rsidRDefault="004C5608" w:rsidP="004C5608">
            <w:pPr>
              <w:rPr>
                <w:rFonts w:cs="VNGNQL+Optima-Regular"/>
                <w:color w:val="000000"/>
              </w:rPr>
            </w:pPr>
            <w:r w:rsidRPr="002D6C2B">
              <w:rPr>
                <w:rFonts w:cs="VNGNQL+Optima-Regular"/>
                <w:color w:val="000000"/>
                <w:sz w:val="20"/>
              </w:rPr>
              <w:t>Small Group Communication</w:t>
            </w:r>
          </w:p>
        </w:tc>
        <w:tc>
          <w:tcPr>
            <w:tcW w:w="1800" w:type="dxa"/>
          </w:tcPr>
          <w:p w:rsidR="004C5608" w:rsidRDefault="004C5608" w:rsidP="0086088A">
            <w:pPr>
              <w:rPr>
                <w:rFonts w:cs="VNGNQL+Optima-Regular"/>
                <w:color w:val="000000"/>
              </w:rPr>
            </w:pPr>
            <w:r>
              <w:rPr>
                <w:rFonts w:cs="VNGNQL+Optima-Regular"/>
                <w:color w:val="000000"/>
              </w:rPr>
              <w:t>1 department</w:t>
            </w:r>
          </w:p>
          <w:p w:rsidR="004C5608" w:rsidRDefault="004C5608" w:rsidP="0086088A">
            <w:pPr>
              <w:rPr>
                <w:rFonts w:cs="VNGNQL+Optima-Regular"/>
                <w:color w:val="000000"/>
              </w:rPr>
            </w:pPr>
            <w:r>
              <w:rPr>
                <w:rFonts w:cs="VNGNQL+Optima-Regular"/>
                <w:color w:val="000000"/>
              </w:rPr>
              <w:t>Communication</w:t>
            </w:r>
          </w:p>
        </w:tc>
        <w:tc>
          <w:tcPr>
            <w:tcW w:w="1171" w:type="dxa"/>
          </w:tcPr>
          <w:p w:rsidR="008573FA" w:rsidRDefault="008573FA" w:rsidP="008573FA">
            <w:pPr>
              <w:rPr>
                <w:rFonts w:cs="VNGNQL+Optima-Regular"/>
                <w:color w:val="000000"/>
              </w:rPr>
            </w:pPr>
            <w:r>
              <w:rPr>
                <w:rFonts w:cs="VNGNQL+Optima-Regular"/>
                <w:color w:val="000000"/>
              </w:rPr>
              <w:t>160</w:t>
            </w:r>
          </w:p>
          <w:p w:rsidR="004C5608" w:rsidRDefault="004C5608" w:rsidP="00F6455B">
            <w:pPr>
              <w:rPr>
                <w:rFonts w:cs="VNGNQL+Optima-Regular"/>
                <w:color w:val="000000"/>
              </w:rPr>
            </w:pPr>
          </w:p>
        </w:tc>
        <w:tc>
          <w:tcPr>
            <w:tcW w:w="1007" w:type="dxa"/>
          </w:tcPr>
          <w:p w:rsidR="004C5608" w:rsidRDefault="004C5608">
            <w:pPr>
              <w:rPr>
                <w:rFonts w:cs="VNGNQL+Optima-Regular"/>
                <w:color w:val="000000"/>
              </w:rPr>
            </w:pPr>
            <w:r>
              <w:rPr>
                <w:rFonts w:cs="VNGNQL+Optima-Regular"/>
                <w:color w:val="000000"/>
              </w:rPr>
              <w:t>6,400</w:t>
            </w:r>
          </w:p>
        </w:tc>
      </w:tr>
      <w:tr w:rsidR="004C5608" w:rsidTr="002D6C2B">
        <w:tc>
          <w:tcPr>
            <w:tcW w:w="1638" w:type="dxa"/>
          </w:tcPr>
          <w:p w:rsidR="004C5608" w:rsidRDefault="004C5608">
            <w:pPr>
              <w:rPr>
                <w:rFonts w:cs="VNGNQL+Optima-Regular"/>
                <w:color w:val="000000"/>
              </w:rPr>
            </w:pPr>
            <w:r>
              <w:rPr>
                <w:rFonts w:cs="VNGNQL+Optima-Regular"/>
                <w:color w:val="000000"/>
              </w:rPr>
              <w:t>Area A2 Written Communication</w:t>
            </w:r>
          </w:p>
        </w:tc>
        <w:tc>
          <w:tcPr>
            <w:tcW w:w="3960" w:type="dxa"/>
          </w:tcPr>
          <w:p w:rsidR="008573FA" w:rsidRDefault="008573FA">
            <w:pPr>
              <w:rPr>
                <w:rFonts w:cs="VNGNQL+Optima-Regular"/>
                <w:color w:val="000000"/>
              </w:rPr>
            </w:pPr>
            <w:r>
              <w:rPr>
                <w:rFonts w:cs="VNGNQL+Optima-Regular"/>
                <w:color w:val="000000"/>
              </w:rPr>
              <w:t>1</w:t>
            </w:r>
            <w:r>
              <w:rPr>
                <w:rFonts w:cs="VNGNQL+Optima-Regular"/>
                <w:color w:val="000000"/>
              </w:rPr>
              <w:t xml:space="preserve"> course</w:t>
            </w:r>
          </w:p>
          <w:p w:rsidR="004C5608" w:rsidRDefault="004C5608">
            <w:pPr>
              <w:rPr>
                <w:rFonts w:cs="VNGNQL+Optima-Regular"/>
                <w:color w:val="000000"/>
              </w:rPr>
            </w:pPr>
            <w:r w:rsidRPr="002D6C2B">
              <w:rPr>
                <w:rFonts w:cs="VNGNQL+Optima-Regular"/>
                <w:color w:val="000000"/>
                <w:sz w:val="20"/>
              </w:rPr>
              <w:t>English Composition</w:t>
            </w:r>
          </w:p>
        </w:tc>
        <w:tc>
          <w:tcPr>
            <w:tcW w:w="1800" w:type="dxa"/>
          </w:tcPr>
          <w:p w:rsidR="004C5608" w:rsidRDefault="004C5608" w:rsidP="0086088A">
            <w:pPr>
              <w:rPr>
                <w:rFonts w:cs="VNGNQL+Optima-Regular"/>
                <w:color w:val="000000"/>
              </w:rPr>
            </w:pPr>
            <w:r>
              <w:rPr>
                <w:rFonts w:cs="VNGNQL+Optima-Regular"/>
                <w:color w:val="000000"/>
              </w:rPr>
              <w:t>1 department</w:t>
            </w:r>
          </w:p>
          <w:p w:rsidR="004C5608" w:rsidRDefault="004C5608" w:rsidP="0086088A">
            <w:pPr>
              <w:rPr>
                <w:rFonts w:cs="VNGNQL+Optima-Regular"/>
                <w:color w:val="000000"/>
              </w:rPr>
            </w:pPr>
            <w:r>
              <w:rPr>
                <w:rFonts w:cs="VNGNQL+Optima-Regular"/>
                <w:color w:val="000000"/>
              </w:rPr>
              <w:t>English</w:t>
            </w:r>
          </w:p>
        </w:tc>
        <w:tc>
          <w:tcPr>
            <w:tcW w:w="1171" w:type="dxa"/>
          </w:tcPr>
          <w:p w:rsidR="008573FA" w:rsidRDefault="008573FA" w:rsidP="008573FA">
            <w:pPr>
              <w:rPr>
                <w:rFonts w:cs="VNGNQL+Optima-Regular"/>
                <w:color w:val="000000"/>
              </w:rPr>
            </w:pPr>
            <w:r>
              <w:rPr>
                <w:rFonts w:cs="VNGNQL+Optima-Regular"/>
                <w:color w:val="000000"/>
              </w:rPr>
              <w:t>500</w:t>
            </w:r>
          </w:p>
          <w:p w:rsidR="004C5608" w:rsidRDefault="004C5608" w:rsidP="00F6455B">
            <w:pPr>
              <w:rPr>
                <w:rFonts w:cs="VNGNQL+Optima-Regular"/>
                <w:color w:val="000000"/>
              </w:rPr>
            </w:pPr>
          </w:p>
        </w:tc>
        <w:tc>
          <w:tcPr>
            <w:tcW w:w="1007" w:type="dxa"/>
          </w:tcPr>
          <w:p w:rsidR="004C5608" w:rsidRDefault="004C5608">
            <w:pPr>
              <w:rPr>
                <w:rFonts w:cs="VNGNQL+Optima-Regular"/>
                <w:color w:val="000000"/>
              </w:rPr>
            </w:pPr>
            <w:r>
              <w:rPr>
                <w:rFonts w:cs="VNGNQL+Optima-Regular"/>
                <w:color w:val="000000"/>
              </w:rPr>
              <w:t>12,000</w:t>
            </w:r>
          </w:p>
        </w:tc>
      </w:tr>
      <w:tr w:rsidR="004C5608" w:rsidTr="002D6C2B">
        <w:tc>
          <w:tcPr>
            <w:tcW w:w="1638" w:type="dxa"/>
          </w:tcPr>
          <w:p w:rsidR="004C5608" w:rsidRDefault="004C5608">
            <w:pPr>
              <w:rPr>
                <w:rFonts w:cs="VNGNQL+Optima-Regular"/>
                <w:color w:val="000000"/>
              </w:rPr>
            </w:pPr>
            <w:r>
              <w:rPr>
                <w:rFonts w:cs="VNGNQL+Optima-Regular"/>
                <w:color w:val="000000"/>
              </w:rPr>
              <w:t>Area A3 Critical Thinking</w:t>
            </w:r>
          </w:p>
        </w:tc>
        <w:tc>
          <w:tcPr>
            <w:tcW w:w="3960" w:type="dxa"/>
          </w:tcPr>
          <w:p w:rsidR="008573FA" w:rsidRDefault="008573FA">
            <w:pPr>
              <w:rPr>
                <w:rFonts w:cs="VNGNQL+Optima-Regular"/>
                <w:color w:val="000000"/>
              </w:rPr>
            </w:pPr>
            <w:r>
              <w:rPr>
                <w:rFonts w:cs="VNGNQL+Optima-Regular"/>
                <w:color w:val="000000"/>
              </w:rPr>
              <w:t>5</w:t>
            </w:r>
            <w:r>
              <w:rPr>
                <w:rFonts w:cs="VNGNQL+Optima-Regular"/>
                <w:color w:val="000000"/>
              </w:rPr>
              <w:t xml:space="preserve"> courses</w:t>
            </w:r>
          </w:p>
          <w:p w:rsidR="004C5608" w:rsidRPr="002D6C2B" w:rsidRDefault="004C5608">
            <w:pPr>
              <w:rPr>
                <w:rFonts w:cs="VNGNQL+Optima-Regular"/>
                <w:color w:val="000000"/>
                <w:sz w:val="20"/>
              </w:rPr>
            </w:pPr>
            <w:r w:rsidRPr="002D6C2B">
              <w:rPr>
                <w:rFonts w:cs="VNGNQL+Optima-Regular"/>
                <w:color w:val="000000"/>
                <w:sz w:val="20"/>
              </w:rPr>
              <w:t>Introduction to Ethics</w:t>
            </w:r>
          </w:p>
          <w:p w:rsidR="004C5608" w:rsidRPr="002D6C2B" w:rsidRDefault="004C5608">
            <w:pPr>
              <w:rPr>
                <w:rFonts w:cs="VNGNQL+Optima-Regular"/>
                <w:color w:val="000000"/>
                <w:sz w:val="20"/>
              </w:rPr>
            </w:pPr>
            <w:r w:rsidRPr="002D6C2B">
              <w:rPr>
                <w:rFonts w:cs="VNGNQL+Optima-Regular"/>
                <w:color w:val="000000"/>
                <w:sz w:val="20"/>
              </w:rPr>
              <w:t>Critical Reasoning in History</w:t>
            </w:r>
          </w:p>
          <w:p w:rsidR="004C5608" w:rsidRPr="002D6C2B" w:rsidRDefault="004C5608">
            <w:pPr>
              <w:rPr>
                <w:rFonts w:cs="VNGNQL+Optima-Regular"/>
                <w:color w:val="000000"/>
                <w:sz w:val="20"/>
              </w:rPr>
            </w:pPr>
            <w:r w:rsidRPr="002D6C2B">
              <w:rPr>
                <w:rFonts w:cs="VNGNQL+Optima-Regular"/>
                <w:color w:val="000000"/>
                <w:sz w:val="20"/>
              </w:rPr>
              <w:t>Advanced Composition and Critical Thinking</w:t>
            </w:r>
          </w:p>
          <w:p w:rsidR="004C5608" w:rsidRDefault="004C5608">
            <w:pPr>
              <w:rPr>
                <w:rFonts w:cs="VNGNQL+Optima-Regular"/>
                <w:color w:val="000000"/>
              </w:rPr>
            </w:pPr>
            <w:r w:rsidRPr="002D6C2B">
              <w:rPr>
                <w:rFonts w:cs="VNGNQL+Optima-Regular"/>
                <w:color w:val="000000"/>
                <w:sz w:val="20"/>
              </w:rPr>
              <w:t>Advanced Argumentation and Critical Thinking</w:t>
            </w:r>
          </w:p>
        </w:tc>
        <w:tc>
          <w:tcPr>
            <w:tcW w:w="1800" w:type="dxa"/>
          </w:tcPr>
          <w:p w:rsidR="004C5608" w:rsidRDefault="004C5608" w:rsidP="0086088A">
            <w:pPr>
              <w:rPr>
                <w:rFonts w:cs="VNGNQL+Optima-Regular"/>
                <w:color w:val="000000"/>
              </w:rPr>
            </w:pPr>
            <w:r>
              <w:rPr>
                <w:rFonts w:cs="VNGNQL+Optima-Regular"/>
                <w:color w:val="000000"/>
              </w:rPr>
              <w:t>4 departments</w:t>
            </w:r>
          </w:p>
          <w:p w:rsidR="004C5608" w:rsidRDefault="004C5608" w:rsidP="0086088A">
            <w:pPr>
              <w:rPr>
                <w:rFonts w:cs="VNGNQL+Optima-Regular"/>
                <w:color w:val="000000"/>
              </w:rPr>
            </w:pPr>
            <w:r>
              <w:rPr>
                <w:rFonts w:cs="VNGNQL+Optima-Regular"/>
                <w:color w:val="000000"/>
              </w:rPr>
              <w:t>Philosophy</w:t>
            </w:r>
          </w:p>
          <w:p w:rsidR="004C5608" w:rsidRDefault="004C5608" w:rsidP="0086088A">
            <w:pPr>
              <w:rPr>
                <w:rFonts w:cs="VNGNQL+Optima-Regular"/>
                <w:color w:val="000000"/>
              </w:rPr>
            </w:pPr>
            <w:r>
              <w:rPr>
                <w:rFonts w:cs="VNGNQL+Optima-Regular"/>
                <w:color w:val="000000"/>
              </w:rPr>
              <w:t>History</w:t>
            </w:r>
          </w:p>
          <w:p w:rsidR="004C5608" w:rsidRDefault="004C5608" w:rsidP="0086088A">
            <w:pPr>
              <w:rPr>
                <w:rFonts w:cs="VNGNQL+Optima-Regular"/>
                <w:color w:val="000000"/>
              </w:rPr>
            </w:pPr>
            <w:r>
              <w:rPr>
                <w:rFonts w:cs="VNGNQL+Optima-Regular"/>
                <w:color w:val="000000"/>
              </w:rPr>
              <w:t>English</w:t>
            </w:r>
          </w:p>
          <w:p w:rsidR="004C5608" w:rsidRDefault="004C5608" w:rsidP="0086088A">
            <w:pPr>
              <w:rPr>
                <w:rFonts w:cs="VNGNQL+Optima-Regular"/>
                <w:color w:val="000000"/>
              </w:rPr>
            </w:pPr>
            <w:r>
              <w:rPr>
                <w:rFonts w:cs="VNGNQL+Optima-Regular"/>
                <w:color w:val="000000"/>
              </w:rPr>
              <w:t>Communication</w:t>
            </w:r>
          </w:p>
        </w:tc>
        <w:tc>
          <w:tcPr>
            <w:tcW w:w="1171" w:type="dxa"/>
          </w:tcPr>
          <w:p w:rsidR="008573FA" w:rsidRDefault="008573FA" w:rsidP="008573FA">
            <w:pPr>
              <w:rPr>
                <w:rFonts w:cs="VNGNQL+Optima-Regular"/>
                <w:color w:val="000000"/>
              </w:rPr>
            </w:pPr>
            <w:r>
              <w:rPr>
                <w:rFonts w:cs="VNGNQL+Optima-Regular"/>
                <w:color w:val="000000"/>
              </w:rPr>
              <w:t>80</w:t>
            </w:r>
          </w:p>
          <w:p w:rsidR="004C5608" w:rsidRDefault="004C5608" w:rsidP="00F6455B">
            <w:pPr>
              <w:rPr>
                <w:rFonts w:cs="VNGNQL+Optima-Regular"/>
                <w:color w:val="000000"/>
              </w:rPr>
            </w:pPr>
          </w:p>
        </w:tc>
        <w:tc>
          <w:tcPr>
            <w:tcW w:w="1007" w:type="dxa"/>
          </w:tcPr>
          <w:p w:rsidR="004C5608" w:rsidRDefault="004C5608">
            <w:pPr>
              <w:rPr>
                <w:rFonts w:cs="VNGNQL+Optima-Regular"/>
                <w:color w:val="000000"/>
              </w:rPr>
            </w:pPr>
            <w:r>
              <w:rPr>
                <w:rFonts w:cs="VNGNQL+Optima-Regular"/>
                <w:color w:val="000000"/>
              </w:rPr>
              <w:t>2,400</w:t>
            </w:r>
          </w:p>
        </w:tc>
      </w:tr>
      <w:tr w:rsidR="004C5608" w:rsidTr="002D6C2B">
        <w:tc>
          <w:tcPr>
            <w:tcW w:w="1638" w:type="dxa"/>
          </w:tcPr>
          <w:p w:rsidR="004C5608" w:rsidRDefault="004C5608">
            <w:pPr>
              <w:rPr>
                <w:rFonts w:cs="VNGNQL+Optima-Regular"/>
                <w:color w:val="000000"/>
              </w:rPr>
            </w:pPr>
            <w:r>
              <w:rPr>
                <w:rFonts w:cs="VNGNQL+Optima-Regular"/>
                <w:color w:val="000000"/>
              </w:rPr>
              <w:t>Area B4 Quantitative Reasoning and Mathematics</w:t>
            </w:r>
          </w:p>
        </w:tc>
        <w:tc>
          <w:tcPr>
            <w:tcW w:w="3960" w:type="dxa"/>
          </w:tcPr>
          <w:p w:rsidR="008573FA" w:rsidRDefault="008573FA">
            <w:pPr>
              <w:rPr>
                <w:rFonts w:cs="VNGNQL+Optima-Regular"/>
                <w:color w:val="000000"/>
              </w:rPr>
            </w:pPr>
            <w:r>
              <w:rPr>
                <w:rFonts w:cs="VNGNQL+Optima-Regular"/>
                <w:color w:val="000000"/>
              </w:rPr>
              <w:t xml:space="preserve">7  courses </w:t>
            </w:r>
          </w:p>
          <w:p w:rsidR="004C5608" w:rsidRPr="002D6C2B" w:rsidRDefault="004C5608">
            <w:pPr>
              <w:rPr>
                <w:rFonts w:cs="VNGNQL+Optima-Regular"/>
                <w:color w:val="000000"/>
                <w:sz w:val="20"/>
              </w:rPr>
            </w:pPr>
            <w:r w:rsidRPr="002D6C2B">
              <w:rPr>
                <w:rFonts w:cs="VNGNQL+Optima-Regular"/>
                <w:color w:val="000000"/>
                <w:sz w:val="20"/>
              </w:rPr>
              <w:t>Elementary Statistics for Behavioral Sciences</w:t>
            </w:r>
          </w:p>
          <w:p w:rsidR="004C5608" w:rsidRPr="002D6C2B" w:rsidRDefault="004C5608">
            <w:pPr>
              <w:rPr>
                <w:rFonts w:cs="VNGNQL+Optima-Regular"/>
                <w:color w:val="000000"/>
                <w:sz w:val="20"/>
              </w:rPr>
            </w:pPr>
            <w:r w:rsidRPr="002D6C2B">
              <w:rPr>
                <w:rFonts w:cs="VNGNQL+Optima-Regular"/>
                <w:color w:val="000000"/>
                <w:sz w:val="20"/>
              </w:rPr>
              <w:t>Business Statistics</w:t>
            </w:r>
          </w:p>
          <w:p w:rsidR="004C5608" w:rsidRPr="002D6C2B" w:rsidRDefault="004C5608">
            <w:pPr>
              <w:rPr>
                <w:rFonts w:cs="VNGNQL+Optima-Regular"/>
                <w:color w:val="000000"/>
                <w:sz w:val="20"/>
              </w:rPr>
            </w:pPr>
            <w:r w:rsidRPr="002D6C2B">
              <w:rPr>
                <w:rFonts w:cs="VNGNQL+Optima-Regular"/>
                <w:color w:val="000000"/>
                <w:sz w:val="20"/>
              </w:rPr>
              <w:t>Pre-calculus</w:t>
            </w:r>
          </w:p>
          <w:p w:rsidR="004C5608" w:rsidRPr="002D6C2B" w:rsidRDefault="004C5608">
            <w:pPr>
              <w:rPr>
                <w:rFonts w:cs="VNGNQL+Optima-Regular"/>
                <w:color w:val="000000"/>
                <w:sz w:val="20"/>
              </w:rPr>
            </w:pPr>
            <w:r w:rsidRPr="002D6C2B">
              <w:rPr>
                <w:rFonts w:cs="VNGNQL+Optima-Regular"/>
                <w:color w:val="000000"/>
                <w:sz w:val="20"/>
              </w:rPr>
              <w:t>Calculus</w:t>
            </w:r>
          </w:p>
          <w:p w:rsidR="004C5608" w:rsidRPr="002D6C2B" w:rsidRDefault="004C5608">
            <w:pPr>
              <w:rPr>
                <w:rFonts w:cs="VNGNQL+Optima-Regular"/>
                <w:color w:val="000000"/>
                <w:sz w:val="20"/>
              </w:rPr>
            </w:pPr>
            <w:r w:rsidRPr="002D6C2B">
              <w:rPr>
                <w:rFonts w:cs="VNGNQL+Optima-Regular"/>
                <w:color w:val="000000"/>
                <w:sz w:val="20"/>
              </w:rPr>
              <w:t>Statistics</w:t>
            </w:r>
          </w:p>
          <w:p w:rsidR="002D6C2B" w:rsidRPr="002D6C2B" w:rsidRDefault="002D6C2B" w:rsidP="002D6C2B">
            <w:pPr>
              <w:rPr>
                <w:rFonts w:cs="VNGNQL+Optima-Regular"/>
                <w:color w:val="000000"/>
                <w:sz w:val="20"/>
              </w:rPr>
            </w:pPr>
            <w:r w:rsidRPr="002D6C2B">
              <w:rPr>
                <w:rFonts w:cs="VNGNQL+Optima-Regular"/>
                <w:color w:val="000000"/>
                <w:sz w:val="20"/>
              </w:rPr>
              <w:t>Liberal Arts Mathematics</w:t>
            </w:r>
          </w:p>
          <w:p w:rsidR="004C5608" w:rsidRPr="008573FA" w:rsidRDefault="004C5608">
            <w:pPr>
              <w:rPr>
                <w:rFonts w:cs="VNGNQL+Optima-Regular"/>
                <w:color w:val="000000"/>
                <w:sz w:val="20"/>
              </w:rPr>
            </w:pPr>
            <w:r w:rsidRPr="002D6C2B">
              <w:rPr>
                <w:rFonts w:cs="VNGNQL+Optima-Regular"/>
                <w:color w:val="000000"/>
                <w:sz w:val="20"/>
              </w:rPr>
              <w:t xml:space="preserve">Math for Elementary </w:t>
            </w:r>
            <w:r w:rsidR="008573FA">
              <w:rPr>
                <w:rFonts w:cs="VNGNQL+Optima-Regular"/>
                <w:color w:val="000000"/>
                <w:sz w:val="20"/>
              </w:rPr>
              <w:t>Teachers</w:t>
            </w:r>
          </w:p>
        </w:tc>
        <w:tc>
          <w:tcPr>
            <w:tcW w:w="1800" w:type="dxa"/>
          </w:tcPr>
          <w:p w:rsidR="004C5608" w:rsidRDefault="004C5608" w:rsidP="0086088A">
            <w:pPr>
              <w:rPr>
                <w:rFonts w:cs="VNGNQL+Optima-Regular"/>
                <w:color w:val="000000"/>
              </w:rPr>
            </w:pPr>
            <w:r>
              <w:rPr>
                <w:rFonts w:cs="VNGNQL+Optima-Regular"/>
                <w:color w:val="000000"/>
              </w:rPr>
              <w:t>4 departments</w:t>
            </w:r>
          </w:p>
          <w:p w:rsidR="004C5608" w:rsidRDefault="004C5608" w:rsidP="0086088A">
            <w:pPr>
              <w:rPr>
                <w:rFonts w:cs="VNGNQL+Optima-Regular"/>
                <w:color w:val="000000"/>
              </w:rPr>
            </w:pPr>
            <w:r>
              <w:rPr>
                <w:rFonts w:cs="VNGNQL+Optima-Regular"/>
                <w:color w:val="000000"/>
              </w:rPr>
              <w:t>Sociology</w:t>
            </w:r>
          </w:p>
          <w:p w:rsidR="002D6C2B" w:rsidRDefault="002D6C2B" w:rsidP="0086088A">
            <w:pPr>
              <w:rPr>
                <w:rFonts w:cs="VNGNQL+Optima-Regular"/>
                <w:color w:val="000000"/>
              </w:rPr>
            </w:pPr>
            <w:r>
              <w:rPr>
                <w:rFonts w:cs="VNGNQL+Optima-Regular"/>
                <w:color w:val="000000"/>
              </w:rPr>
              <w:t>Business</w:t>
            </w:r>
          </w:p>
          <w:p w:rsidR="002D6C2B" w:rsidRDefault="002D6C2B" w:rsidP="0086088A">
            <w:pPr>
              <w:rPr>
                <w:rFonts w:cs="VNGNQL+Optima-Regular"/>
                <w:color w:val="000000"/>
              </w:rPr>
            </w:pPr>
            <w:r>
              <w:rPr>
                <w:rFonts w:cs="VNGNQL+Optima-Regular"/>
                <w:color w:val="000000"/>
              </w:rPr>
              <w:t>Math</w:t>
            </w:r>
          </w:p>
          <w:p w:rsidR="002D6C2B" w:rsidRDefault="002D6C2B" w:rsidP="0086088A">
            <w:pPr>
              <w:rPr>
                <w:rFonts w:cs="VNGNQL+Optima-Regular"/>
                <w:color w:val="000000"/>
              </w:rPr>
            </w:pPr>
          </w:p>
          <w:p w:rsidR="002D6C2B" w:rsidRDefault="002D6C2B" w:rsidP="0086088A">
            <w:pPr>
              <w:rPr>
                <w:rFonts w:cs="VNGNQL+Optima-Regular"/>
                <w:color w:val="000000"/>
              </w:rPr>
            </w:pPr>
          </w:p>
          <w:p w:rsidR="002D6C2B" w:rsidRDefault="002D6C2B" w:rsidP="0086088A">
            <w:pPr>
              <w:rPr>
                <w:rFonts w:cs="VNGNQL+Optima-Regular"/>
                <w:color w:val="000000"/>
              </w:rPr>
            </w:pPr>
            <w:r>
              <w:rPr>
                <w:rFonts w:cs="VNGNQL+Optima-Regular"/>
                <w:color w:val="000000"/>
              </w:rPr>
              <w:t>Education</w:t>
            </w:r>
          </w:p>
        </w:tc>
        <w:tc>
          <w:tcPr>
            <w:tcW w:w="1171" w:type="dxa"/>
          </w:tcPr>
          <w:p w:rsidR="008573FA" w:rsidRDefault="008573FA" w:rsidP="008573FA">
            <w:pPr>
              <w:rPr>
                <w:rFonts w:cs="VNGNQL+Optima-Regular"/>
                <w:color w:val="000000"/>
              </w:rPr>
            </w:pPr>
            <w:r>
              <w:rPr>
                <w:rFonts w:cs="VNGNQL+Optima-Regular"/>
                <w:color w:val="000000"/>
              </w:rPr>
              <w:t>220</w:t>
            </w:r>
          </w:p>
          <w:p w:rsidR="004C5608" w:rsidRDefault="004C5608" w:rsidP="00F6455B">
            <w:pPr>
              <w:rPr>
                <w:rFonts w:cs="VNGNQL+Optima-Regular"/>
                <w:color w:val="000000"/>
              </w:rPr>
            </w:pPr>
          </w:p>
        </w:tc>
        <w:tc>
          <w:tcPr>
            <w:tcW w:w="1007" w:type="dxa"/>
          </w:tcPr>
          <w:p w:rsidR="004C5608" w:rsidRDefault="008573FA">
            <w:pPr>
              <w:rPr>
                <w:rFonts w:cs="VNGNQL+Optima-Regular"/>
                <w:color w:val="000000"/>
              </w:rPr>
            </w:pPr>
            <w:r>
              <w:rPr>
                <w:rFonts w:cs="VNGNQL+Optima-Regular"/>
                <w:color w:val="000000"/>
              </w:rPr>
              <w:t>6,600</w:t>
            </w:r>
          </w:p>
        </w:tc>
      </w:tr>
    </w:tbl>
    <w:p w:rsidR="008573FA" w:rsidRDefault="008573FA" w:rsidP="008573FA">
      <w:pPr>
        <w:spacing w:after="0" w:line="240" w:lineRule="auto"/>
        <w:rPr>
          <w:rFonts w:cs="VNGNQL+Optima-Regular"/>
          <w:color w:val="000000"/>
        </w:rPr>
      </w:pPr>
      <w:r>
        <w:rPr>
          <w:rFonts w:cs="VNGNQL+Optima-Regular"/>
          <w:color w:val="000000"/>
        </w:rPr>
        <w:t>Questions to consider:</w:t>
      </w:r>
    </w:p>
    <w:p w:rsidR="008573FA" w:rsidRDefault="008573FA" w:rsidP="008573FA">
      <w:pPr>
        <w:spacing w:after="0" w:line="240" w:lineRule="auto"/>
        <w:rPr>
          <w:rFonts w:cs="VNGNQL+Optima-Regular"/>
          <w:color w:val="000000"/>
        </w:rPr>
      </w:pPr>
      <w:r>
        <w:rPr>
          <w:rFonts w:cs="VNGNQL+Optima-Regular"/>
          <w:color w:val="000000"/>
        </w:rPr>
        <w:t xml:space="preserve">What are the limiting factors in students completing all golden 4 in one year? (success, </w:t>
      </w:r>
      <w:r w:rsidR="006A7187">
        <w:rPr>
          <w:rFonts w:cs="VNGNQL+Optima-Regular"/>
          <w:color w:val="000000"/>
        </w:rPr>
        <w:t>seats,</w:t>
      </w:r>
      <w:r w:rsidR="006A7187">
        <w:rPr>
          <w:rFonts w:cs="VNGNQL+Optima-Regular"/>
          <w:color w:val="000000"/>
        </w:rPr>
        <w:t xml:space="preserve"> access, delivery method, time and location available, </w:t>
      </w:r>
      <w:r>
        <w:rPr>
          <w:rFonts w:cs="VNGNQL+Optima-Regular"/>
          <w:color w:val="000000"/>
        </w:rPr>
        <w:t>etc)</w:t>
      </w:r>
    </w:p>
    <w:p w:rsidR="00997811" w:rsidRDefault="00997811" w:rsidP="008573FA">
      <w:pPr>
        <w:spacing w:after="0" w:line="240" w:lineRule="auto"/>
        <w:rPr>
          <w:rFonts w:cs="VNGNQL+Optima-Regular"/>
          <w:color w:val="000000"/>
        </w:rPr>
      </w:pPr>
      <w:r>
        <w:rPr>
          <w:rFonts w:cs="VNGNQL+Optima-Regular"/>
          <w:color w:val="000000"/>
        </w:rPr>
        <w:t>How might this influence program completion?</w:t>
      </w:r>
    </w:p>
    <w:p w:rsidR="008573FA" w:rsidRDefault="008573FA" w:rsidP="008573FA">
      <w:pPr>
        <w:spacing w:after="0" w:line="240" w:lineRule="auto"/>
        <w:rPr>
          <w:rFonts w:cs="VNGNQL+Optima-Regular"/>
          <w:color w:val="000000"/>
        </w:rPr>
      </w:pPr>
      <w:r>
        <w:rPr>
          <w:rFonts w:cs="VNGNQL+Optima-Regular"/>
          <w:color w:val="000000"/>
        </w:rPr>
        <w:t>How does this complement the Guided Pathway milestones and Student Centered Funding Formula metrics?</w:t>
      </w:r>
    </w:p>
    <w:p w:rsidR="008573FA" w:rsidRDefault="008573FA" w:rsidP="008573FA">
      <w:pPr>
        <w:spacing w:after="0" w:line="240" w:lineRule="auto"/>
        <w:rPr>
          <w:rFonts w:cs="VNGNQL+Optima-Regular"/>
          <w:color w:val="000000"/>
        </w:rPr>
      </w:pPr>
      <w:r>
        <w:rPr>
          <w:rFonts w:cs="VNGNQL+Optima-Regular"/>
          <w:color w:val="000000"/>
        </w:rPr>
        <w:t>How might scheduling with these factors in mind require different conversations than previously?</w:t>
      </w:r>
    </w:p>
    <w:p w:rsidR="00773B87" w:rsidRDefault="00773B87" w:rsidP="008573FA">
      <w:pPr>
        <w:spacing w:after="0" w:line="240" w:lineRule="auto"/>
        <w:rPr>
          <w:rFonts w:cs="VNGNQL+Optima-Regular"/>
          <w:color w:val="000000"/>
        </w:rPr>
      </w:pPr>
      <w:r>
        <w:rPr>
          <w:rFonts w:cs="VNGNQL+Optima-Regular"/>
          <w:color w:val="000000"/>
        </w:rPr>
        <w:t>How might program mapping allow you to leverage the scheduling associated with area B4?</w:t>
      </w:r>
    </w:p>
    <w:p w:rsidR="002634D0" w:rsidRDefault="002634D0"/>
    <w:p w:rsidR="009E02D7" w:rsidRDefault="00773B87">
      <w:r w:rsidRPr="00A85380">
        <w:rPr>
          <w:b/>
        </w:rPr>
        <w:t>Scenario 2</w:t>
      </w:r>
      <w:r w:rsidR="002634D0">
        <w:t xml:space="preserve"> </w:t>
      </w:r>
      <w:r w:rsidR="002634D0" w:rsidRPr="002634D0">
        <w:rPr>
          <w:b/>
        </w:rPr>
        <w:t xml:space="preserve">Connections </w:t>
      </w:r>
      <w:r w:rsidR="005E5FA0" w:rsidRPr="002634D0">
        <w:rPr>
          <w:b/>
        </w:rPr>
        <w:t>beyond</w:t>
      </w:r>
      <w:r w:rsidR="002634D0" w:rsidRPr="002634D0">
        <w:rPr>
          <w:b/>
        </w:rPr>
        <w:t xml:space="preserve"> the Discipline</w:t>
      </w:r>
      <w:r>
        <w:t xml:space="preserve">: Guided Pathways, Metamajors and Program Maps have begun to make colleges reconsider planning </w:t>
      </w:r>
      <w:r w:rsidR="00997811">
        <w:t xml:space="preserve">and scheduling </w:t>
      </w:r>
      <w:r>
        <w:t>processes.</w:t>
      </w:r>
      <w:r w:rsidR="00997811">
        <w:t xml:space="preserve"> Whereas many schedules are developed by departments and then aggregated up to the whole college, this process assumes an institutional, not a student-</w:t>
      </w:r>
      <w:r w:rsidR="00191CB8">
        <w:t>focused perspective</w:t>
      </w:r>
      <w:r w:rsidR="00997811">
        <w:t>.</w:t>
      </w:r>
      <w:r w:rsidR="006A7187">
        <w:t xml:space="preserve"> Students need to complete their entire program package </w:t>
      </w:r>
      <w:r w:rsidR="00191CB8">
        <w:t xml:space="preserve">beyond major requirements to </w:t>
      </w:r>
      <w:r w:rsidR="006A7187">
        <w:t xml:space="preserve">across disciplines including </w:t>
      </w:r>
      <w:r w:rsidR="00191CB8">
        <w:t xml:space="preserve">pre-requisite and </w:t>
      </w:r>
      <w:r w:rsidR="006A7187">
        <w:t>support courses</w:t>
      </w:r>
      <w:r w:rsidR="00191CB8">
        <w:t>, as well as capstone, work study and internships. This may mean that within a department there is a split in the scheduling. Below are a couple examples:</w:t>
      </w:r>
    </w:p>
    <w:p w:rsidR="00191CB8" w:rsidRDefault="00191CB8">
      <w:r>
        <w:t xml:space="preserve">In Biology the highly impacted courses often actually “feed” very different programs or metamajors – Anatomy and Physiology are not </w:t>
      </w:r>
      <w:r w:rsidR="00F519D3">
        <w:t>transferable for Biology majors so the pathway is aligned to allied health, health sciences and kinesiology.</w:t>
      </w:r>
    </w:p>
    <w:p w:rsidR="00F519D3" w:rsidRDefault="00F503B9">
      <w:r>
        <w:t>As colleges have discussed where e</w:t>
      </w:r>
      <w:r w:rsidR="00F519D3">
        <w:t>conomics</w:t>
      </w:r>
      <w:r>
        <w:t xml:space="preserve"> might fall in metamajors has identified a difference</w:t>
      </w:r>
      <w:r w:rsidR="00F519D3">
        <w:t xml:space="preserve"> micro- and macro-economics align </w:t>
      </w:r>
      <w:r>
        <w:t xml:space="preserve">with </w:t>
      </w:r>
      <w:r w:rsidR="00F519D3">
        <w:t xml:space="preserve">pathways </w:t>
      </w:r>
      <w:r>
        <w:t>such as</w:t>
      </w:r>
      <w:r w:rsidR="00F519D3">
        <w:t xml:space="preserve"> </w:t>
      </w:r>
      <w:r>
        <w:t>math, or political science or general economics.</w:t>
      </w:r>
    </w:p>
    <w:p w:rsidR="00F519D3" w:rsidRDefault="00F503B9">
      <w:r>
        <w:rPr>
          <w:noProof/>
        </w:rPr>
        <w:drawing>
          <wp:inline distT="0" distB="0" distL="0" distR="0">
            <wp:extent cx="5943600" cy="448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CA4BD.tmp"/>
                    <pic:cNvPicPr/>
                  </pic:nvPicPr>
                  <pic:blipFill>
                    <a:blip r:embed="rId8">
                      <a:extLst>
                        <a:ext uri="{28A0092B-C50C-407E-A947-70E740481C1C}">
                          <a14:useLocalDpi xmlns:a14="http://schemas.microsoft.com/office/drawing/2010/main" val="0"/>
                        </a:ext>
                      </a:extLst>
                    </a:blip>
                    <a:stretch>
                      <a:fillRect/>
                    </a:stretch>
                  </pic:blipFill>
                  <pic:spPr>
                    <a:xfrm>
                      <a:off x="0" y="0"/>
                      <a:ext cx="5943600" cy="4486910"/>
                    </a:xfrm>
                    <a:prstGeom prst="rect">
                      <a:avLst/>
                    </a:prstGeom>
                  </pic:spPr>
                </pic:pic>
              </a:graphicData>
            </a:graphic>
          </wp:inline>
        </w:drawing>
      </w:r>
    </w:p>
    <w:p w:rsidR="00F503B9" w:rsidRDefault="00F503B9">
      <w:r>
        <w:t>This is true in many disciplines. How would coordinating with major transfer pathways influe</w:t>
      </w:r>
      <w:r w:rsidR="002634D0">
        <w:t>nce the suggestion for general education courses? How would this potentially impact scheduling?</w:t>
      </w:r>
    </w:p>
    <w:p w:rsidR="00F519D3" w:rsidRDefault="00F519D3">
      <w:r>
        <w:rPr>
          <w:noProof/>
        </w:rPr>
        <w:drawing>
          <wp:inline distT="0" distB="0" distL="0" distR="0">
            <wp:extent cx="5943600" cy="7293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CC041.tmp"/>
                    <pic:cNvPicPr/>
                  </pic:nvPicPr>
                  <pic:blipFill>
                    <a:blip r:embed="rId9">
                      <a:extLst>
                        <a:ext uri="{28A0092B-C50C-407E-A947-70E740481C1C}">
                          <a14:useLocalDpi xmlns:a14="http://schemas.microsoft.com/office/drawing/2010/main" val="0"/>
                        </a:ext>
                      </a:extLst>
                    </a:blip>
                    <a:stretch>
                      <a:fillRect/>
                    </a:stretch>
                  </pic:blipFill>
                  <pic:spPr>
                    <a:xfrm>
                      <a:off x="0" y="0"/>
                      <a:ext cx="5943600" cy="7293610"/>
                    </a:xfrm>
                    <a:prstGeom prst="rect">
                      <a:avLst/>
                    </a:prstGeom>
                  </pic:spPr>
                </pic:pic>
              </a:graphicData>
            </a:graphic>
          </wp:inline>
        </w:drawing>
      </w:r>
    </w:p>
    <w:p w:rsidR="002634D0" w:rsidRDefault="002634D0"/>
    <w:p w:rsidR="002634D0" w:rsidRDefault="002634D0"/>
    <w:p w:rsidR="008D667C" w:rsidRDefault="008D667C"/>
    <w:p w:rsidR="008D667C" w:rsidRDefault="002634D0">
      <w:r w:rsidRPr="00A85380">
        <w:rPr>
          <w:b/>
        </w:rPr>
        <w:t>Scenario 3</w:t>
      </w:r>
      <w:r w:rsidR="008D667C">
        <w:t xml:space="preserve"> </w:t>
      </w:r>
      <w:r w:rsidR="00D81948">
        <w:rPr>
          <w:b/>
        </w:rPr>
        <w:t>Scheduling by Program</w:t>
      </w:r>
      <w:r w:rsidR="008D667C" w:rsidRPr="008D667C">
        <w:rPr>
          <w:b/>
        </w:rPr>
        <w:t xml:space="preserve"> and Unintended Consequences</w:t>
      </w:r>
      <w:r>
        <w:t xml:space="preserve">: </w:t>
      </w:r>
      <w:r w:rsidR="008D667C">
        <w:t xml:space="preserve">One college decided to expand its Inmate course offerings based upon guided pathways. The appropriate programs based upon the most common majors selected were built into schedules that allowed inmates to complete transfer degrees. </w:t>
      </w:r>
      <w:r w:rsidR="00EA1D68">
        <w:t xml:space="preserve">Spring 2019 saw an unduplicated headcount of 830 inmate scholars with 2,459 enrollments. </w:t>
      </w:r>
      <w:r w:rsidR="008D667C">
        <w:t>The courses are scheduled in blocks allowing program completion with a two year or three-year pattern</w:t>
      </w:r>
      <w:r w:rsidR="00EA1D68">
        <w:t xml:space="preserve"> on 6 prison blocks (which relate to individual sites)</w:t>
      </w:r>
      <w:r w:rsidR="008D667C">
        <w:t xml:space="preserve">. </w:t>
      </w:r>
      <w:r w:rsidR="00130822">
        <w:t xml:space="preserve">The college average for degree completion is 7-8 years. </w:t>
      </w:r>
      <w:r w:rsidR="00AD7102">
        <w:t>As of</w:t>
      </w:r>
      <w:r w:rsidR="00AD7102">
        <w:t xml:space="preserve"> May 2019,</w:t>
      </w:r>
      <w:r w:rsidR="00AD7102">
        <w:t xml:space="preserve"> t</w:t>
      </w:r>
      <w:r w:rsidR="008D667C">
        <w:t xml:space="preserve">he program has graduated approximately </w:t>
      </w:r>
      <w:r w:rsidR="005E5FA0">
        <w:t>60</w:t>
      </w:r>
      <w:r w:rsidR="008D667C">
        <w:t xml:space="preserve"> ADTs</w:t>
      </w:r>
      <w:r w:rsidR="00AD7102">
        <w:t xml:space="preserve"> each </w:t>
      </w:r>
      <w:r w:rsidR="008D667C">
        <w:t>align</w:t>
      </w:r>
      <w:r w:rsidR="00AD7102">
        <w:t>ing</w:t>
      </w:r>
      <w:r w:rsidR="008D667C">
        <w:t xml:space="preserve"> with four-year transfer institutions for parole</w:t>
      </w:r>
      <w:r w:rsidR="00AD7102">
        <w:t>e</w:t>
      </w:r>
      <w:r w:rsidR="008D667C">
        <w:t>s and continuing course offerings within the prison facilities. The college team has incorporated student ed planning and overcome the barriers of no technology, even implementing OER options for nearly half the sections. They just received notice that the program needs to cut 30 sections for the upcoming fall semester</w:t>
      </w:r>
      <w:r w:rsidR="00EA1D68">
        <w:t xml:space="preserve"> even though the sections are all waitlisted and no on-campus programs have been asked to cut sections</w:t>
      </w:r>
      <w:r w:rsidR="008D667C">
        <w:t>.</w:t>
      </w:r>
    </w:p>
    <w:p w:rsidR="005E5FA0" w:rsidRDefault="005E5FA0">
      <w:r>
        <w:rPr>
          <w:noProof/>
        </w:rPr>
        <w:drawing>
          <wp:inline distT="0" distB="0" distL="0" distR="0">
            <wp:extent cx="4220164" cy="4544059"/>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C75EA.tmp"/>
                    <pic:cNvPicPr/>
                  </pic:nvPicPr>
                  <pic:blipFill>
                    <a:blip r:embed="rId10">
                      <a:extLst>
                        <a:ext uri="{28A0092B-C50C-407E-A947-70E740481C1C}">
                          <a14:useLocalDpi xmlns:a14="http://schemas.microsoft.com/office/drawing/2010/main" val="0"/>
                        </a:ext>
                      </a:extLst>
                    </a:blip>
                    <a:stretch>
                      <a:fillRect/>
                    </a:stretch>
                  </pic:blipFill>
                  <pic:spPr>
                    <a:xfrm>
                      <a:off x="0" y="0"/>
                      <a:ext cx="4220164" cy="4544059"/>
                    </a:xfrm>
                    <a:prstGeom prst="rect">
                      <a:avLst/>
                    </a:prstGeom>
                  </pic:spPr>
                </pic:pic>
              </a:graphicData>
            </a:graphic>
          </wp:inline>
        </w:drawing>
      </w:r>
    </w:p>
    <w:p w:rsidR="005E5FA0" w:rsidRDefault="005E5FA0">
      <w:r>
        <w:rPr>
          <w:noProof/>
        </w:rPr>
        <w:drawing>
          <wp:inline distT="0" distB="0" distL="0" distR="0">
            <wp:extent cx="5943600" cy="5796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C19CC.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5796280"/>
                    </a:xfrm>
                    <a:prstGeom prst="rect">
                      <a:avLst/>
                    </a:prstGeom>
                  </pic:spPr>
                </pic:pic>
              </a:graphicData>
            </a:graphic>
          </wp:inline>
        </w:drawing>
      </w:r>
    </w:p>
    <w:p w:rsidR="00EA1D68" w:rsidRDefault="008D667C">
      <w:r>
        <w:t xml:space="preserve">Consider the </w:t>
      </w:r>
      <w:r w:rsidR="00EA1D68">
        <w:t>implications of this program with regards to the Student Centered Funding Formula (SCFF)?</w:t>
      </w:r>
    </w:p>
    <w:p w:rsidR="005E5FA0" w:rsidRDefault="005E5FA0">
      <w:r>
        <w:t xml:space="preserve">Look at the student success data and consider the potential affects from both success and </w:t>
      </w:r>
      <w:proofErr w:type="gramStart"/>
      <w:r>
        <w:t>ethnicity ?</w:t>
      </w:r>
      <w:proofErr w:type="gramEnd"/>
      <w:r>
        <w:t xml:space="preserve"> </w:t>
      </w:r>
    </w:p>
    <w:p w:rsidR="002634D0" w:rsidRDefault="00EA1D68">
      <w:r>
        <w:t>What are the implications of cancelling sections that may differ from regular scheduling of courses?</w:t>
      </w:r>
      <w:r w:rsidR="008D667C">
        <w:t xml:space="preserve"> </w:t>
      </w:r>
    </w:p>
    <w:p w:rsidR="005E5FA0" w:rsidRDefault="005E5FA0">
      <w:r>
        <w:t>What are the complications of this program scheduling at 6 different sites?</w:t>
      </w:r>
    </w:p>
    <w:p w:rsidR="005E5FA0" w:rsidRDefault="005E5FA0"/>
    <w:p w:rsidR="005E5FA0" w:rsidRDefault="005E5FA0">
      <w:r w:rsidRPr="005E5FA0">
        <w:rPr>
          <w:highlight w:val="yellow"/>
        </w:rPr>
        <w:t>Other ideas…</w:t>
      </w:r>
    </w:p>
    <w:sectPr w:rsidR="005E5FA0" w:rsidSect="002634D0">
      <w:headerReference w:type="default" r:id="rId12"/>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D7" w:rsidRDefault="009E02D7" w:rsidP="009E02D7">
      <w:pPr>
        <w:spacing w:after="0" w:line="240" w:lineRule="auto"/>
      </w:pPr>
      <w:r>
        <w:separator/>
      </w:r>
    </w:p>
  </w:endnote>
  <w:endnote w:type="continuationSeparator" w:id="0">
    <w:p w:rsidR="009E02D7" w:rsidRDefault="009E02D7" w:rsidP="009E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GNQL+Optima-Regular">
    <w:altName w:val="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04563"/>
      <w:docPartObj>
        <w:docPartGallery w:val="Page Numbers (Bottom of Page)"/>
        <w:docPartUnique/>
      </w:docPartObj>
    </w:sdtPr>
    <w:sdtEndPr>
      <w:rPr>
        <w:noProof/>
      </w:rPr>
    </w:sdtEndPr>
    <w:sdtContent>
      <w:p w:rsidR="00D81948" w:rsidRDefault="00D81948">
        <w:pPr>
          <w:pStyle w:val="Footer"/>
          <w:jc w:val="right"/>
        </w:pPr>
        <w:r>
          <w:fldChar w:fldCharType="begin"/>
        </w:r>
        <w:r>
          <w:instrText xml:space="preserve"> PAGE   \* MERGEFORMAT </w:instrText>
        </w:r>
        <w:r>
          <w:fldChar w:fldCharType="separate"/>
        </w:r>
        <w:r w:rsidR="00143ACB">
          <w:rPr>
            <w:noProof/>
          </w:rPr>
          <w:t>3</w:t>
        </w:r>
        <w:r>
          <w:rPr>
            <w:noProof/>
          </w:rPr>
          <w:fldChar w:fldCharType="end"/>
        </w:r>
      </w:p>
    </w:sdtContent>
  </w:sdt>
  <w:p w:rsidR="00D81948" w:rsidRDefault="00D81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D7" w:rsidRDefault="009E02D7" w:rsidP="009E02D7">
      <w:pPr>
        <w:spacing w:after="0" w:line="240" w:lineRule="auto"/>
      </w:pPr>
      <w:r>
        <w:separator/>
      </w:r>
    </w:p>
  </w:footnote>
  <w:footnote w:type="continuationSeparator" w:id="0">
    <w:p w:rsidR="009E02D7" w:rsidRDefault="009E02D7" w:rsidP="009E0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D7" w:rsidRDefault="009E02D7" w:rsidP="009E02D7">
    <w:r>
      <w:t xml:space="preserve">Scenarios on Guided Pathways and </w:t>
    </w:r>
    <w:r>
      <w:t>Scheduling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11F42"/>
    <w:multiLevelType w:val="hybridMultilevel"/>
    <w:tmpl w:val="C856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179BA"/>
    <w:multiLevelType w:val="hybridMultilevel"/>
    <w:tmpl w:val="277C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56D68"/>
    <w:multiLevelType w:val="hybridMultilevel"/>
    <w:tmpl w:val="10C8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89"/>
    <w:rsid w:val="0003224C"/>
    <w:rsid w:val="000B4122"/>
    <w:rsid w:val="00130822"/>
    <w:rsid w:val="00143ACB"/>
    <w:rsid w:val="00191CB8"/>
    <w:rsid w:val="002634D0"/>
    <w:rsid w:val="002D6C2B"/>
    <w:rsid w:val="004C5608"/>
    <w:rsid w:val="005E5FA0"/>
    <w:rsid w:val="006A7187"/>
    <w:rsid w:val="00773B87"/>
    <w:rsid w:val="00827DB0"/>
    <w:rsid w:val="008573FA"/>
    <w:rsid w:val="008D667C"/>
    <w:rsid w:val="009856DB"/>
    <w:rsid w:val="00997811"/>
    <w:rsid w:val="009E02D7"/>
    <w:rsid w:val="00A85380"/>
    <w:rsid w:val="00A93489"/>
    <w:rsid w:val="00AD7102"/>
    <w:rsid w:val="00D81948"/>
    <w:rsid w:val="00EA1D68"/>
    <w:rsid w:val="00F503B9"/>
    <w:rsid w:val="00F5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2D7"/>
  </w:style>
  <w:style w:type="paragraph" w:styleId="Footer">
    <w:name w:val="footer"/>
    <w:basedOn w:val="Normal"/>
    <w:link w:val="FooterChar"/>
    <w:uiPriority w:val="99"/>
    <w:unhideWhenUsed/>
    <w:rsid w:val="009E0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D7"/>
  </w:style>
  <w:style w:type="paragraph" w:styleId="BalloonText">
    <w:name w:val="Balloon Text"/>
    <w:basedOn w:val="Normal"/>
    <w:link w:val="BalloonTextChar"/>
    <w:uiPriority w:val="99"/>
    <w:semiHidden/>
    <w:unhideWhenUsed/>
    <w:rsid w:val="009E0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2D7"/>
    <w:rPr>
      <w:rFonts w:ascii="Tahoma" w:hAnsi="Tahoma" w:cs="Tahoma"/>
      <w:sz w:val="16"/>
      <w:szCs w:val="16"/>
    </w:rPr>
  </w:style>
  <w:style w:type="table" w:styleId="TableGrid">
    <w:name w:val="Table Grid"/>
    <w:basedOn w:val="TableNormal"/>
    <w:uiPriority w:val="59"/>
    <w:rsid w:val="00032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2D7"/>
  </w:style>
  <w:style w:type="paragraph" w:styleId="Footer">
    <w:name w:val="footer"/>
    <w:basedOn w:val="Normal"/>
    <w:link w:val="FooterChar"/>
    <w:uiPriority w:val="99"/>
    <w:unhideWhenUsed/>
    <w:rsid w:val="009E0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D7"/>
  </w:style>
  <w:style w:type="paragraph" w:styleId="BalloonText">
    <w:name w:val="Balloon Text"/>
    <w:basedOn w:val="Normal"/>
    <w:link w:val="BalloonTextChar"/>
    <w:uiPriority w:val="99"/>
    <w:semiHidden/>
    <w:unhideWhenUsed/>
    <w:rsid w:val="009E0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2D7"/>
    <w:rPr>
      <w:rFonts w:ascii="Tahoma" w:hAnsi="Tahoma" w:cs="Tahoma"/>
      <w:sz w:val="16"/>
      <w:szCs w:val="16"/>
    </w:rPr>
  </w:style>
  <w:style w:type="table" w:styleId="TableGrid">
    <w:name w:val="Table Grid"/>
    <w:basedOn w:val="TableNormal"/>
    <w:uiPriority w:val="59"/>
    <w:rsid w:val="00032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GNQL+Optima-Regular">
    <w:altName w:val="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41"/>
    <w:rsid w:val="00FC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036E2F799E4168B5E55A9B37FC1DD3">
    <w:name w:val="8B036E2F799E4168B5E55A9B37FC1DD3"/>
    <w:rsid w:val="00FC3D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036E2F799E4168B5E55A9B37FC1DD3">
    <w:name w:val="8B036E2F799E4168B5E55A9B37FC1DD3"/>
    <w:rsid w:val="00FC3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2019-05-06T23:56:00Z</dcterms:created>
  <dcterms:modified xsi:type="dcterms:W3CDTF">2019-05-06T23:56:00Z</dcterms:modified>
</cp:coreProperties>
</file>